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FC" w:rsidRDefault="002739FC" w:rsidP="00E40E34"/>
    <w:p w:rsidR="002739FC" w:rsidRDefault="002739FC" w:rsidP="00E40E34"/>
    <w:p w:rsidR="002739FC" w:rsidRDefault="0071561E" w:rsidP="00E40E34">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2739FC" w:rsidRPr="009201DE" w:rsidRDefault="002739FC" w:rsidP="00E40E34">
      <w:pPr>
        <w:ind w:left="2832"/>
        <w:rPr>
          <w:sz w:val="20"/>
          <w:szCs w:val="20"/>
        </w:rPr>
      </w:pPr>
    </w:p>
    <w:p w:rsidR="002739FC" w:rsidRDefault="002739FC" w:rsidP="00E40E34">
      <w:pPr>
        <w:widowControl w:val="0"/>
        <w:tabs>
          <w:tab w:val="left" w:pos="3731"/>
        </w:tabs>
        <w:autoSpaceDE w:val="0"/>
        <w:autoSpaceDN w:val="0"/>
        <w:adjustRightInd w:val="0"/>
        <w:rPr>
          <w:b/>
          <w:bCs/>
          <w:sz w:val="20"/>
          <w:szCs w:val="20"/>
        </w:rPr>
      </w:pPr>
      <w:r>
        <w:rPr>
          <w:b/>
          <w:bCs/>
          <w:sz w:val="20"/>
          <w:szCs w:val="20"/>
        </w:rPr>
        <w:t>ESMALTE PARA PISOS</w:t>
      </w:r>
    </w:p>
    <w:p w:rsidR="002739FC" w:rsidRDefault="002739FC" w:rsidP="00E40E34">
      <w:pPr>
        <w:widowControl w:val="0"/>
        <w:tabs>
          <w:tab w:val="left" w:pos="3731"/>
        </w:tabs>
        <w:autoSpaceDE w:val="0"/>
        <w:autoSpaceDN w:val="0"/>
        <w:adjustRightInd w:val="0"/>
        <w:rPr>
          <w:b/>
          <w:bCs/>
          <w:sz w:val="20"/>
          <w:szCs w:val="20"/>
        </w:rPr>
      </w:pP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Elaborado con alto nivel de sólidos, con menor contenido de solventes nocivos al medio ambiente y libre de plomo, cromo y otros metales nocivos. Formulado con resinas especiales, que permiten dejar mayor espesor por mano, dando así protección y excelente resistencia a la abrasión y a los factores climáticos a través del tiempo.</w:t>
      </w:r>
      <w:r>
        <w:rPr>
          <w:rFonts w:ascii="TimesNewRomanPSMT" w:hAnsi="TimesNewRomanPSMT" w:cs="TimesNewRomanPSMT"/>
        </w:rPr>
        <w:tab/>
      </w:r>
    </w:p>
    <w:p w:rsidR="002739FC" w:rsidRDefault="002739FC" w:rsidP="00E40E34">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Acabado para pisos industriales o comerciales donde se requiera una excelente durabilidad al tránsito continuo.</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w:t>
      </w:r>
      <w:smartTag w:uri="urn:schemas-microsoft-com:office:smarttags" w:element="metricconverter">
        <w:smartTagPr>
          <w:attr w:name="ProductID" w:val="14 m2"/>
        </w:smartTagPr>
        <w:r>
          <w:rPr>
            <w:rFonts w:ascii="TimesNewRomanPSMT" w:hAnsi="TimesNewRomanPSMT" w:cs="TimesNewRomanPSMT"/>
            <w:sz w:val="20"/>
            <w:szCs w:val="20"/>
          </w:rPr>
          <w:t>14 m2</w:t>
        </w:r>
      </w:smartTag>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por</w:t>
      </w:r>
      <w:proofErr w:type="gramEnd"/>
      <w:r>
        <w:rPr>
          <w:rFonts w:ascii="TimesNewRomanPSMT" w:hAnsi="TimesNewRomanPSMT" w:cs="TimesNewRomanPSMT"/>
          <w:sz w:val="20"/>
          <w:szCs w:val="20"/>
        </w:rPr>
        <w:t xml:space="preserve"> litro por mano</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Brillante </w:t>
      </w:r>
    </w:p>
    <w:p w:rsidR="002739FC" w:rsidRPr="009201DE" w:rsidRDefault="002739FC" w:rsidP="00E40E34">
      <w:pPr>
        <w:widowControl w:val="0"/>
        <w:pBdr>
          <w:bottom w:val="single" w:sz="6" w:space="1" w:color="auto"/>
        </w:pBdr>
        <w:tabs>
          <w:tab w:val="left" w:pos="3731"/>
        </w:tabs>
        <w:autoSpaceDE w:val="0"/>
        <w:autoSpaceDN w:val="0"/>
        <w:adjustRightInd w:val="0"/>
        <w:rPr>
          <w:sz w:val="20"/>
          <w:szCs w:val="20"/>
        </w:rPr>
      </w:pPr>
    </w:p>
    <w:p w:rsidR="002739FC" w:rsidRPr="009201DE" w:rsidRDefault="002739FC" w:rsidP="00E40E34">
      <w:pPr>
        <w:widowControl w:val="0"/>
        <w:tabs>
          <w:tab w:val="left" w:pos="3731"/>
        </w:tabs>
        <w:autoSpaceDE w:val="0"/>
        <w:autoSpaceDN w:val="0"/>
        <w:adjustRightInd w:val="0"/>
        <w:rPr>
          <w:i/>
          <w:iCs/>
          <w:sz w:val="20"/>
          <w:szCs w:val="20"/>
        </w:rPr>
      </w:pPr>
    </w:p>
    <w:p w:rsidR="002739FC" w:rsidRPr="009201DE" w:rsidRDefault="002739FC" w:rsidP="00E40E34">
      <w:pPr>
        <w:widowControl w:val="0"/>
        <w:tabs>
          <w:tab w:val="left" w:pos="3731"/>
        </w:tabs>
        <w:autoSpaceDE w:val="0"/>
        <w:autoSpaceDN w:val="0"/>
        <w:adjustRightInd w:val="0"/>
        <w:rPr>
          <w:b/>
          <w:sz w:val="20"/>
          <w:szCs w:val="20"/>
        </w:rPr>
      </w:pPr>
      <w:r>
        <w:rPr>
          <w:b/>
          <w:iCs/>
          <w:sz w:val="20"/>
          <w:szCs w:val="20"/>
        </w:rPr>
        <w:t>FICHA TECNICA</w:t>
      </w:r>
    </w:p>
    <w:p w:rsidR="002739FC" w:rsidRPr="009201DE" w:rsidRDefault="002739FC" w:rsidP="00E40E34">
      <w:pPr>
        <w:widowControl w:val="0"/>
        <w:tabs>
          <w:tab w:val="left" w:pos="3731"/>
        </w:tabs>
        <w:autoSpaceDE w:val="0"/>
        <w:autoSpaceDN w:val="0"/>
        <w:adjustRightInd w:val="0"/>
        <w:rPr>
          <w:b/>
          <w:bCs/>
          <w:sz w:val="20"/>
          <w:szCs w:val="20"/>
        </w:rPr>
      </w:pP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Varios según color</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71561E">
        <w:rPr>
          <w:rFonts w:ascii="TimesNewRomanPSMT" w:hAnsi="TimesNewRomanPSMT" w:cs="TimesNewRomanPSMT"/>
          <w:sz w:val="20"/>
          <w:szCs w:val="20"/>
        </w:rPr>
        <w:tab/>
        <w:t xml:space="preserve">0.93 </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Viscosidad</w:t>
      </w:r>
      <w:r>
        <w:rPr>
          <w:rFonts w:ascii="TimesNewRomanPSMT" w:hAnsi="TimesNewRomanPSMT" w:cs="TimesNewRomanPSMT"/>
        </w:rPr>
        <w:tab/>
      </w:r>
      <w:r w:rsidR="0071561E" w:rsidRPr="0071561E">
        <w:rPr>
          <w:rFonts w:ascii="TimesNewRomanPSMT" w:hAnsi="TimesNewRomanPSMT" w:cs="TimesNewRomanPSMT"/>
          <w:sz w:val="20"/>
          <w:szCs w:val="20"/>
        </w:rPr>
        <w:t>76+/-2</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Ver carta de colores</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 a tres</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sidR="0071561E">
        <w:rPr>
          <w:rFonts w:ascii="TimesNewRomanPSMT" w:hAnsi="TimesNewRomanPSMT" w:cs="TimesNewRomanPSMT"/>
          <w:sz w:val="20"/>
          <w:szCs w:val="20"/>
        </w:rPr>
        <w:t>3 -4</w:t>
      </w:r>
      <w:r>
        <w:rPr>
          <w:rFonts w:ascii="TimesNewRomanPSMT" w:hAnsi="TimesNewRomanPSMT" w:cs="TimesNewRomanPSMT"/>
          <w:sz w:val="20"/>
          <w:szCs w:val="20"/>
        </w:rPr>
        <w:t xml:space="preserve"> Horas</w:t>
      </w:r>
      <w:bookmarkStart w:id="0" w:name="_GoBack"/>
      <w:bookmarkEnd w:id="0"/>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10 horas</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16 horas</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 xml:space="preserve">: </w:t>
      </w:r>
      <w:r>
        <w:rPr>
          <w:rFonts w:ascii="TimesNewRomanPSMT" w:hAnsi="TimesNewRomanPSMT" w:cs="TimesNewRomanPSMT"/>
          <w:sz w:val="20"/>
          <w:szCs w:val="20"/>
        </w:rPr>
        <w:t xml:space="preserve">Limpiar la superficie eliminando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y algas (con solución de lavandina al 30%), polvillo y pinturas flojas y descascaradas. No dejar restos de productos de limpieza previa y aplicar una primera mano como imprimación, rebajada con un 15% de aguarrás.</w:t>
      </w:r>
    </w:p>
    <w:p w:rsidR="002739FC" w:rsidRDefault="002739FC" w:rsidP="00E40E3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Mezclar el producto con movimientos ascendentes hasta lograr uniformidad de viscosidad. De ser necesario diluir con una mínima cantidad de aguarrás de primera calidad. No pintar en condiciones extremas de humedad y/o temperatura</w:t>
      </w:r>
    </w:p>
    <w:p w:rsidR="002739FC" w:rsidRDefault="002739FC" w:rsidP="00E40E34">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 xml:space="preserve">Pincel, rodillo: (aguarrás </w:t>
      </w:r>
      <w:smartTag w:uri="urn:schemas-microsoft-com:office:smarttags" w:element="metricconverter">
        <w:smartTagPr>
          <w:attr w:name="ProductID" w:val="0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w:t>
      </w:r>
      <w:proofErr w:type="spellStart"/>
      <w:r>
        <w:rPr>
          <w:rFonts w:ascii="TimesNewRomanPSMT" w:hAnsi="TimesNewRomanPSMT" w:cs="TimesNewRomanPSMT"/>
          <w:sz w:val="20"/>
          <w:szCs w:val="20"/>
        </w:rPr>
        <w:t>Airless</w:t>
      </w:r>
      <w:proofErr w:type="spellEnd"/>
      <w:r>
        <w:rPr>
          <w:rFonts w:ascii="TimesNewRomanPSMT" w:hAnsi="TimesNewRomanPSMT" w:cs="TimesNewRomanPSMT"/>
          <w:sz w:val="20"/>
          <w:szCs w:val="20"/>
        </w:rPr>
        <w:t xml:space="preserve">: ( aguarrás </w:t>
      </w:r>
      <w:smartTag w:uri="urn:schemas-microsoft-com:office:smarttags" w:element="metricconverter">
        <w:smartTagPr>
          <w:attr w:name="ProductID" w:val="5 a"/>
        </w:smartTagPr>
        <w:r>
          <w:rPr>
            <w:rFonts w:ascii="TimesNewRomanPSMT" w:hAnsi="TimesNewRomanPSMT" w:cs="TimesNewRomanPSMT"/>
            <w:sz w:val="20"/>
            <w:szCs w:val="20"/>
          </w:rPr>
          <w:t>5 a</w:t>
        </w:r>
      </w:smartTag>
      <w:r>
        <w:rPr>
          <w:rFonts w:ascii="TimesNewRomanPSMT" w:hAnsi="TimesNewRomanPSMT" w:cs="TimesNewRomanPSMT"/>
          <w:sz w:val="20"/>
          <w:szCs w:val="20"/>
        </w:rPr>
        <w:t xml:space="preserve"> 10%) Orificio de pico (</w:t>
      </w:r>
      <w:smartTag w:uri="urn:schemas-microsoft-com:office:smarttags" w:element="metricconverter">
        <w:smartTagPr>
          <w:attr w:name="ProductID" w:val="0.33 mm"/>
        </w:smartTagPr>
        <w:r>
          <w:rPr>
            <w:rFonts w:ascii="TimesNewRomanPSMT" w:hAnsi="TimesNewRomanPSMT" w:cs="TimesNewRomanPSMT"/>
            <w:sz w:val="20"/>
            <w:szCs w:val="20"/>
          </w:rPr>
          <w:t xml:space="preserve">0.33 </w:t>
        </w:r>
        <w:proofErr w:type="spellStart"/>
        <w:r>
          <w:rPr>
            <w:rFonts w:ascii="TimesNewRomanPSMT" w:hAnsi="TimesNewRomanPSMT" w:cs="TimesNewRomanPSMT"/>
            <w:sz w:val="20"/>
            <w:szCs w:val="20"/>
          </w:rPr>
          <w:t>mm</w:t>
        </w:r>
      </w:smartTag>
      <w:r>
        <w:rPr>
          <w:rFonts w:ascii="TimesNewRomanPSMT" w:hAnsi="TimesNewRomanPSMT" w:cs="TimesNewRomanPSMT"/>
          <w:sz w:val="20"/>
          <w:szCs w:val="20"/>
        </w:rPr>
        <w:t>.</w:t>
      </w:r>
      <w:proofErr w:type="spellEnd"/>
      <w:r>
        <w:rPr>
          <w:rFonts w:ascii="TimesNewRomanPSMT" w:hAnsi="TimesNewRomanPSMT" w:cs="TimesNewRomanPSMT"/>
          <w:sz w:val="20"/>
          <w:szCs w:val="20"/>
        </w:rPr>
        <w:t>). Presión de pico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12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 Soplete convencional : aguarrás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w:t>
      </w:r>
      <w:smartTag w:uri="urn:schemas-microsoft-com:office:smarttags" w:element="metricconverter">
        <w:smartTagPr>
          <w:attr w:name="ProductID" w:val="1.8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w:t>
      </w:r>
      <w:smartTag w:uri="urn:schemas-microsoft-com:office:smarttags" w:element="metricconverter">
        <w:smartTagPr>
          <w:attr w:name="ProductID" w:val="2 mm"/>
        </w:smartTagPr>
        <w:r>
          <w:rPr>
            <w:rFonts w:ascii="TimesNewRomanPSMT" w:hAnsi="TimesNewRomanPSMT" w:cs="TimesNewRomanPSMT"/>
            <w:sz w:val="20"/>
            <w:szCs w:val="20"/>
          </w:rPr>
          <w:t xml:space="preserve">2 </w:t>
        </w:r>
        <w:proofErr w:type="spellStart"/>
        <w:r>
          <w:rPr>
            <w:rFonts w:ascii="TimesNewRomanPSMT" w:hAnsi="TimesNewRomanPSMT" w:cs="TimesNewRomanPSMT"/>
            <w:sz w:val="20"/>
            <w:szCs w:val="20"/>
          </w:rPr>
          <w:t>mm</w:t>
        </w:r>
      </w:smartTag>
      <w:r>
        <w:rPr>
          <w:rFonts w:ascii="TimesNewRomanPSMT" w:hAnsi="TimesNewRomanPSMT" w:cs="TimesNewRomanPSMT"/>
          <w:sz w:val="20"/>
          <w:szCs w:val="20"/>
        </w:rPr>
        <w:t>.</w:t>
      </w:r>
      <w:proofErr w:type="spellEnd"/>
      <w:r>
        <w:rPr>
          <w:rFonts w:ascii="TimesNewRomanPSMT" w:hAnsi="TimesNewRomanPSMT" w:cs="TimesNewRomanPSMT"/>
          <w:sz w:val="20"/>
          <w:szCs w:val="20"/>
        </w:rPr>
        <w:t>). Presión de pico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w:t>
      </w:r>
    </w:p>
    <w:p w:rsidR="002739FC" w:rsidRDefault="002739FC" w:rsidP="00E40E34">
      <w:pPr>
        <w:widowControl w:val="0"/>
        <w:pBdr>
          <w:bottom w:val="single" w:sz="6" w:space="1" w:color="auto"/>
        </w:pBdr>
        <w:tabs>
          <w:tab w:val="left" w:pos="3731"/>
        </w:tabs>
        <w:autoSpaceDE w:val="0"/>
        <w:autoSpaceDN w:val="0"/>
        <w:adjustRightInd w:val="0"/>
        <w:rPr>
          <w:sz w:val="20"/>
          <w:szCs w:val="20"/>
        </w:rPr>
      </w:pPr>
    </w:p>
    <w:p w:rsidR="002739FC" w:rsidRPr="009201DE" w:rsidRDefault="002739FC" w:rsidP="00E40E34">
      <w:pPr>
        <w:widowControl w:val="0"/>
        <w:tabs>
          <w:tab w:val="left" w:pos="3731"/>
        </w:tabs>
        <w:autoSpaceDE w:val="0"/>
        <w:autoSpaceDN w:val="0"/>
        <w:adjustRightInd w:val="0"/>
        <w:rPr>
          <w:kern w:val="1"/>
          <w:sz w:val="20"/>
          <w:szCs w:val="20"/>
        </w:rPr>
      </w:pPr>
    </w:p>
    <w:p w:rsidR="002739FC" w:rsidRPr="009201DE" w:rsidRDefault="002739FC" w:rsidP="00E40E34">
      <w:pPr>
        <w:rPr>
          <w:b/>
          <w:sz w:val="20"/>
          <w:szCs w:val="20"/>
        </w:rPr>
      </w:pPr>
      <w:r w:rsidRPr="009201DE">
        <w:rPr>
          <w:b/>
          <w:sz w:val="20"/>
          <w:szCs w:val="20"/>
        </w:rPr>
        <w:t>Precauciones de seguridad</w:t>
      </w:r>
    </w:p>
    <w:p w:rsidR="002739FC" w:rsidRDefault="002739FC" w:rsidP="00E40E34">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851F8">
        <w:rPr>
          <w:sz w:val="20"/>
          <w:szCs w:val="20"/>
        </w:rPr>
        <w:t>Al ser INFLAMABLE, evitar contacto con llamas, chispas o fuentes calóricos. En caso de fuego, utilizar extintores tipo BC, polvo químico o espuma.</w:t>
      </w:r>
    </w:p>
    <w:p w:rsidR="002739FC" w:rsidRPr="009851F8" w:rsidRDefault="002739FC" w:rsidP="00E40E34">
      <w:pPr>
        <w:pBdr>
          <w:bottom w:val="single" w:sz="6" w:space="1" w:color="auto"/>
        </w:pBdr>
        <w:rPr>
          <w:sz w:val="20"/>
          <w:szCs w:val="20"/>
        </w:rPr>
      </w:pPr>
    </w:p>
    <w:p w:rsidR="002739FC" w:rsidRDefault="002739FC" w:rsidP="00E40E34">
      <w:pPr>
        <w:rPr>
          <w:sz w:val="20"/>
          <w:szCs w:val="20"/>
        </w:rPr>
      </w:pPr>
    </w:p>
    <w:p w:rsidR="002739FC" w:rsidRPr="009201DE" w:rsidRDefault="002739FC" w:rsidP="00E40E34">
      <w:pPr>
        <w:rPr>
          <w:b/>
          <w:sz w:val="20"/>
          <w:szCs w:val="20"/>
        </w:rPr>
      </w:pPr>
      <w:r w:rsidRPr="009201DE">
        <w:rPr>
          <w:b/>
          <w:sz w:val="20"/>
          <w:szCs w:val="20"/>
        </w:rPr>
        <w:t>Primeros auxilios</w:t>
      </w:r>
    </w:p>
    <w:p w:rsidR="002739FC" w:rsidRPr="009201DE" w:rsidRDefault="002739FC" w:rsidP="00E40E34">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2739FC" w:rsidRPr="00E40E34" w:rsidRDefault="002739FC" w:rsidP="00E40E34">
      <w:pPr>
        <w:widowControl w:val="0"/>
        <w:tabs>
          <w:tab w:val="left" w:pos="3731"/>
        </w:tabs>
        <w:autoSpaceDE w:val="0"/>
        <w:autoSpaceDN w:val="0"/>
        <w:adjustRightInd w:val="0"/>
        <w:rPr>
          <w:b/>
          <w:bCs/>
          <w:sz w:val="20"/>
          <w:szCs w:val="20"/>
        </w:rPr>
      </w:pPr>
    </w:p>
    <w:sectPr w:rsidR="002739FC" w:rsidRPr="00E40E34" w:rsidSect="00E40E34">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B3A"/>
    <w:rsid w:val="000B6FCB"/>
    <w:rsid w:val="002739FC"/>
    <w:rsid w:val="00382B3A"/>
    <w:rsid w:val="0061272B"/>
    <w:rsid w:val="0071561E"/>
    <w:rsid w:val="007F0555"/>
    <w:rsid w:val="009201DE"/>
    <w:rsid w:val="009851F8"/>
    <w:rsid w:val="00C837D5"/>
    <w:rsid w:val="00E4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2179</Characters>
  <Application>Microsoft Office Word</Application>
  <DocSecurity>0</DocSecurity>
  <Lines>18</Lines>
  <Paragraphs>5</Paragraphs>
  <ScaleCrop>false</ScaleCrop>
  <Company>Company</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2016-08-23T00:00:00Z</dcterms:created>
  <dcterms:modified xsi:type="dcterms:W3CDTF">2016-08-30T14:21:00Z</dcterms:modified>
</cp:coreProperties>
</file>