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08A" w:rsidRDefault="009C208A" w:rsidP="00806384">
      <w:pPr>
        <w:ind w:left="2124" w:firstLine="708"/>
      </w:pPr>
      <w:bookmarkStart w:id="0" w:name="_GoBack"/>
      <w:bookmarkEnd w:id="0"/>
    </w:p>
    <w:p w:rsidR="009C208A" w:rsidRDefault="009C208A" w:rsidP="00806384">
      <w:pPr>
        <w:ind w:left="2124" w:firstLine="708"/>
      </w:pPr>
    </w:p>
    <w:p w:rsidR="009C208A" w:rsidRDefault="009C208A" w:rsidP="00806384">
      <w:pPr>
        <w:ind w:left="2124" w:firstLine="708"/>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52.5pt">
            <v:imagedata r:id="rId4" o:title=""/>
          </v:shape>
        </w:pict>
      </w:r>
    </w:p>
    <w:p w:rsidR="009C208A" w:rsidRDefault="009C208A" w:rsidP="00806384">
      <w:pPr>
        <w:ind w:left="2124" w:firstLine="708"/>
      </w:pPr>
    </w:p>
    <w:p w:rsidR="009C208A" w:rsidRDefault="009C208A" w:rsidP="00806384">
      <w:pPr>
        <w:widowControl w:val="0"/>
        <w:tabs>
          <w:tab w:val="left" w:pos="3731"/>
        </w:tabs>
        <w:autoSpaceDE w:val="0"/>
        <w:autoSpaceDN w:val="0"/>
        <w:adjustRightInd w:val="0"/>
        <w:rPr>
          <w:rFonts w:ascii="TimesNewRomanPSMT" w:hAnsi="TimesNewRomanPSMT" w:cs="TimesNewRomanPSMT"/>
          <w:b/>
          <w:bCs/>
          <w:sz w:val="20"/>
          <w:szCs w:val="20"/>
        </w:rPr>
      </w:pPr>
      <w:r>
        <w:rPr>
          <w:rFonts w:ascii="TimesNewRomanPSMT" w:hAnsi="TimesNewRomanPSMT" w:cs="TimesNewRomanPSMT"/>
          <w:b/>
          <w:bCs/>
          <w:sz w:val="20"/>
          <w:szCs w:val="20"/>
        </w:rPr>
        <w:t>ENTONADOR UNIVERSAL</w:t>
      </w:r>
    </w:p>
    <w:p w:rsidR="009C208A" w:rsidRDefault="009C208A" w:rsidP="00806384">
      <w:pPr>
        <w:widowControl w:val="0"/>
        <w:tabs>
          <w:tab w:val="left" w:pos="3731"/>
        </w:tabs>
        <w:autoSpaceDE w:val="0"/>
        <w:autoSpaceDN w:val="0"/>
        <w:adjustRightInd w:val="0"/>
        <w:rPr>
          <w:rFonts w:ascii="TimesNewRomanPSMT" w:hAnsi="TimesNewRomanPSMT" w:cs="TimesNewRomanPSMT"/>
          <w:b/>
          <w:bCs/>
          <w:sz w:val="20"/>
          <w:szCs w:val="20"/>
        </w:rPr>
      </w:pPr>
    </w:p>
    <w:p w:rsidR="009C208A" w:rsidRDefault="009C208A" w:rsidP="00806384">
      <w:pPr>
        <w:widowControl w:val="0"/>
        <w:tabs>
          <w:tab w:val="left" w:pos="3731"/>
        </w:tabs>
        <w:autoSpaceDE w:val="0"/>
        <w:autoSpaceDN w:val="0"/>
        <w:adjustRightInd w:val="0"/>
        <w:ind w:left="3731" w:hanging="3731"/>
        <w:rPr>
          <w:rFonts w:ascii="TimesNewRomanPSMT" w:hAnsi="TimesNewRomanPSMT" w:cs="TimesNewRomanPSMT"/>
        </w:rPr>
      </w:pPr>
      <w:r>
        <w:rPr>
          <w:rFonts w:ascii="TimesNewRomanPSMT" w:hAnsi="TimesNewRomanPSMT" w:cs="TimesNewRomanPSMT"/>
          <w:b/>
          <w:bCs/>
          <w:sz w:val="20"/>
          <w:szCs w:val="20"/>
        </w:rPr>
        <w:t>Descripción</w:t>
      </w:r>
      <w:r>
        <w:rPr>
          <w:rFonts w:ascii="TimesNewRomanPSMT" w:hAnsi="TimesNewRomanPSMT" w:cs="TimesNewRomanPSMT"/>
        </w:rPr>
        <w:tab/>
      </w:r>
      <w:r>
        <w:rPr>
          <w:rFonts w:ascii="TimesNewRomanPSMT" w:hAnsi="TimesNewRomanPSMT" w:cs="TimesNewRomanPSMT"/>
          <w:sz w:val="20"/>
          <w:szCs w:val="20"/>
        </w:rPr>
        <w:t xml:space="preserve">La calidad de sus pigmentos utilizados en esta formulación, garantizan una gran resistencia a </w:t>
      </w:r>
      <w:smartTag w:uri="urn:schemas-microsoft-com:office:smarttags" w:element="PersonName">
        <w:smartTagPr>
          <w:attr w:name="ProductID" w:val="la luz. Se"/>
        </w:smartTagPr>
        <w:r>
          <w:rPr>
            <w:rFonts w:ascii="TimesNewRomanPSMT" w:hAnsi="TimesNewRomanPSMT" w:cs="TimesNewRomanPSMT"/>
            <w:sz w:val="20"/>
            <w:szCs w:val="20"/>
          </w:rPr>
          <w:t>la luz. Se</w:t>
        </w:r>
      </w:smartTag>
      <w:r>
        <w:rPr>
          <w:rFonts w:ascii="TimesNewRomanPSMT" w:hAnsi="TimesNewRomanPSMT" w:cs="TimesNewRomanPSMT"/>
          <w:sz w:val="20"/>
          <w:szCs w:val="20"/>
        </w:rPr>
        <w:t xml:space="preserve"> pueden preparar gran variedad de tonos.</w:t>
      </w:r>
      <w:r>
        <w:rPr>
          <w:rFonts w:ascii="TimesNewRomanPSMT" w:hAnsi="TimesNewRomanPSMT" w:cs="TimesNewRomanPSMT"/>
        </w:rPr>
        <w:tab/>
      </w:r>
    </w:p>
    <w:p w:rsidR="009C208A" w:rsidRDefault="009C208A" w:rsidP="00806384">
      <w:pPr>
        <w:widowControl w:val="0"/>
        <w:tabs>
          <w:tab w:val="left" w:pos="3731"/>
        </w:tabs>
        <w:autoSpaceDE w:val="0"/>
        <w:autoSpaceDN w:val="0"/>
        <w:adjustRightInd w:val="0"/>
        <w:ind w:left="3731" w:hanging="3731"/>
        <w:rPr>
          <w:rFonts w:ascii="TimesNewRomanPSMT" w:hAnsi="TimesNewRomanPSMT" w:cs="TimesNewRomanPSMT"/>
        </w:rPr>
      </w:pPr>
      <w:r>
        <w:rPr>
          <w:rFonts w:ascii="TimesNewRomanPSMT" w:hAnsi="TimesNewRomanPSMT" w:cs="TimesNewRomanPSMT"/>
          <w:b/>
          <w:bCs/>
          <w:sz w:val="20"/>
          <w:szCs w:val="20"/>
        </w:rPr>
        <w:t>Usos</w:t>
      </w:r>
      <w:r>
        <w:rPr>
          <w:rFonts w:ascii="TimesNewRomanPSMT" w:hAnsi="TimesNewRomanPSMT" w:cs="TimesNewRomanPSMT"/>
        </w:rPr>
        <w:tab/>
      </w:r>
      <w:r>
        <w:rPr>
          <w:rFonts w:ascii="TimesNewRomanPSMT" w:hAnsi="TimesNewRomanPSMT" w:cs="TimesNewRomanPSMT"/>
          <w:sz w:val="20"/>
          <w:szCs w:val="20"/>
        </w:rPr>
        <w:t>Para entonar pinturas al látex, esmaltes sintéticos y barnices. Se utiliza en productos con acabado brillante, satinado o mate.</w:t>
      </w:r>
    </w:p>
    <w:p w:rsidR="009C208A" w:rsidRDefault="009C208A" w:rsidP="00806384">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Rendimiento</w:t>
      </w:r>
      <w:r>
        <w:rPr>
          <w:rFonts w:ascii="TimesNewRomanPSMT" w:hAnsi="TimesNewRomanPSMT" w:cs="TimesNewRomanPSMT"/>
        </w:rPr>
        <w:tab/>
      </w:r>
      <w:r>
        <w:rPr>
          <w:rFonts w:ascii="TimesNewRomanPSMT" w:hAnsi="TimesNewRomanPSMT" w:cs="TimesNewRomanPSMT"/>
          <w:sz w:val="20"/>
          <w:szCs w:val="20"/>
        </w:rPr>
        <w:t>Depende de la pintura entonada</w:t>
      </w:r>
    </w:p>
    <w:p w:rsidR="009C208A" w:rsidRDefault="009C208A" w:rsidP="00806384">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Brillo</w:t>
      </w:r>
      <w:r>
        <w:rPr>
          <w:rFonts w:ascii="TimesNewRomanPSMT" w:hAnsi="TimesNewRomanPSMT" w:cs="TimesNewRomanPSMT"/>
        </w:rPr>
        <w:tab/>
      </w:r>
      <w:r>
        <w:rPr>
          <w:rFonts w:ascii="TimesNewRomanPSMT" w:hAnsi="TimesNewRomanPSMT" w:cs="TimesNewRomanPSMT"/>
          <w:sz w:val="20"/>
          <w:szCs w:val="20"/>
        </w:rPr>
        <w:t>Depende de la pintura entonada</w:t>
      </w:r>
    </w:p>
    <w:p w:rsidR="009C208A" w:rsidRPr="009201DE" w:rsidRDefault="009C208A" w:rsidP="00806384">
      <w:pPr>
        <w:widowControl w:val="0"/>
        <w:pBdr>
          <w:bottom w:val="single" w:sz="6" w:space="1" w:color="auto"/>
        </w:pBdr>
        <w:tabs>
          <w:tab w:val="left" w:pos="3731"/>
        </w:tabs>
        <w:autoSpaceDE w:val="0"/>
        <w:autoSpaceDN w:val="0"/>
        <w:adjustRightInd w:val="0"/>
        <w:rPr>
          <w:sz w:val="20"/>
          <w:szCs w:val="20"/>
        </w:rPr>
      </w:pPr>
    </w:p>
    <w:p w:rsidR="009C208A" w:rsidRPr="009201DE" w:rsidRDefault="009C208A" w:rsidP="00806384">
      <w:pPr>
        <w:widowControl w:val="0"/>
        <w:tabs>
          <w:tab w:val="left" w:pos="3731"/>
        </w:tabs>
        <w:autoSpaceDE w:val="0"/>
        <w:autoSpaceDN w:val="0"/>
        <w:adjustRightInd w:val="0"/>
        <w:rPr>
          <w:i/>
          <w:iCs/>
          <w:sz w:val="20"/>
          <w:szCs w:val="20"/>
        </w:rPr>
      </w:pPr>
    </w:p>
    <w:p w:rsidR="009C208A" w:rsidRDefault="009C208A" w:rsidP="00806384">
      <w:pPr>
        <w:widowControl w:val="0"/>
        <w:tabs>
          <w:tab w:val="left" w:pos="3731"/>
        </w:tabs>
        <w:autoSpaceDE w:val="0"/>
        <w:autoSpaceDN w:val="0"/>
        <w:adjustRightInd w:val="0"/>
        <w:rPr>
          <w:b/>
          <w:sz w:val="20"/>
          <w:szCs w:val="20"/>
        </w:rPr>
      </w:pPr>
      <w:r>
        <w:rPr>
          <w:b/>
          <w:iCs/>
          <w:sz w:val="20"/>
          <w:szCs w:val="20"/>
        </w:rPr>
        <w:t>FICHA TECNICA</w:t>
      </w:r>
    </w:p>
    <w:p w:rsidR="009C208A" w:rsidRDefault="009C208A" w:rsidP="00806384">
      <w:pPr>
        <w:widowControl w:val="0"/>
        <w:tabs>
          <w:tab w:val="left" w:pos="3731"/>
        </w:tabs>
        <w:autoSpaceDE w:val="0"/>
        <w:autoSpaceDN w:val="0"/>
        <w:adjustRightInd w:val="0"/>
        <w:rPr>
          <w:rFonts w:ascii="TimesNewRomanPSMT" w:hAnsi="TimesNewRomanPSMT" w:cs="TimesNewRomanPSMT"/>
          <w:b/>
          <w:bCs/>
          <w:sz w:val="20"/>
          <w:szCs w:val="20"/>
        </w:rPr>
      </w:pPr>
    </w:p>
    <w:p w:rsidR="009C208A" w:rsidRDefault="009C208A" w:rsidP="00806384">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Vehículo</w:t>
      </w:r>
      <w:r>
        <w:rPr>
          <w:rFonts w:ascii="TimesNewRomanPSMT" w:hAnsi="TimesNewRomanPSMT" w:cs="TimesNewRomanPSMT"/>
        </w:rPr>
        <w:tab/>
      </w:r>
      <w:r>
        <w:rPr>
          <w:rFonts w:ascii="TimesNewRomanPSMT" w:hAnsi="TimesNewRomanPSMT" w:cs="TimesNewRomanPSMT"/>
          <w:sz w:val="20"/>
          <w:szCs w:val="20"/>
        </w:rPr>
        <w:t>Concentrado de pigmentos</w:t>
      </w:r>
    </w:p>
    <w:p w:rsidR="009C208A" w:rsidRDefault="009C208A" w:rsidP="00806384">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Color</w:t>
      </w:r>
      <w:r>
        <w:rPr>
          <w:rFonts w:ascii="TimesNewRomanPSMT" w:hAnsi="TimesNewRomanPSMT" w:cs="TimesNewRomanPSMT"/>
        </w:rPr>
        <w:tab/>
      </w:r>
      <w:r>
        <w:rPr>
          <w:rFonts w:ascii="TimesNewRomanPSMT" w:hAnsi="TimesNewRomanPSMT" w:cs="TimesNewRomanPSMT"/>
          <w:sz w:val="20"/>
          <w:szCs w:val="20"/>
        </w:rPr>
        <w:t>Consultar carta de colores</w:t>
      </w:r>
    </w:p>
    <w:p w:rsidR="009C208A" w:rsidRDefault="009C208A" w:rsidP="00806384">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Nº de manos</w:t>
      </w:r>
      <w:r>
        <w:rPr>
          <w:rFonts w:ascii="TimesNewRomanPSMT" w:hAnsi="TimesNewRomanPSMT" w:cs="TimesNewRomanPSMT"/>
        </w:rPr>
        <w:tab/>
      </w:r>
      <w:r>
        <w:rPr>
          <w:rFonts w:ascii="TimesNewRomanPSMT" w:hAnsi="TimesNewRomanPSMT" w:cs="TimesNewRomanPSMT"/>
          <w:sz w:val="20"/>
          <w:szCs w:val="20"/>
        </w:rPr>
        <w:t>Depende de la pintura entonada</w:t>
      </w:r>
    </w:p>
    <w:p w:rsidR="009C208A" w:rsidRDefault="009C208A" w:rsidP="00806384">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Secado al tacto</w:t>
      </w:r>
      <w:r>
        <w:rPr>
          <w:rFonts w:ascii="TimesNewRomanPSMT" w:hAnsi="TimesNewRomanPSMT" w:cs="TimesNewRomanPSMT"/>
        </w:rPr>
        <w:tab/>
      </w:r>
      <w:r>
        <w:rPr>
          <w:rFonts w:ascii="TimesNewRomanPSMT" w:hAnsi="TimesNewRomanPSMT" w:cs="TimesNewRomanPSMT"/>
          <w:sz w:val="20"/>
          <w:szCs w:val="20"/>
        </w:rPr>
        <w:t>Depende de la pintura entonada</w:t>
      </w:r>
    </w:p>
    <w:p w:rsidR="009C208A" w:rsidRDefault="009C208A" w:rsidP="00806384">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Repintado</w:t>
      </w:r>
      <w:r>
        <w:rPr>
          <w:rFonts w:ascii="TimesNewRomanPSMT" w:hAnsi="TimesNewRomanPSMT" w:cs="TimesNewRomanPSMT"/>
        </w:rPr>
        <w:tab/>
      </w:r>
      <w:r>
        <w:rPr>
          <w:rFonts w:ascii="TimesNewRomanPSMT" w:hAnsi="TimesNewRomanPSMT" w:cs="TimesNewRomanPSMT"/>
          <w:sz w:val="20"/>
          <w:szCs w:val="20"/>
        </w:rPr>
        <w:t>Depende de la pintura entonada</w:t>
      </w:r>
    </w:p>
    <w:p w:rsidR="009C208A" w:rsidRDefault="009C208A" w:rsidP="00806384">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Limpieza y dilución</w:t>
      </w:r>
      <w:r>
        <w:rPr>
          <w:rFonts w:ascii="TimesNewRomanPSMT" w:hAnsi="TimesNewRomanPSMT" w:cs="TimesNewRomanPSMT"/>
        </w:rPr>
        <w:tab/>
      </w:r>
      <w:r>
        <w:rPr>
          <w:rFonts w:ascii="TimesNewRomanPSMT" w:hAnsi="TimesNewRomanPSMT" w:cs="TimesNewRomanPSMT"/>
          <w:sz w:val="20"/>
          <w:szCs w:val="20"/>
        </w:rPr>
        <w:t>Depende de la pintura entonada</w:t>
      </w:r>
    </w:p>
    <w:p w:rsidR="009C208A" w:rsidRDefault="009C208A" w:rsidP="00806384">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Tiempo de almacenamiento</w:t>
      </w:r>
      <w:r>
        <w:rPr>
          <w:rFonts w:ascii="TimesNewRomanPSMT" w:hAnsi="TimesNewRomanPSMT" w:cs="TimesNewRomanPSMT"/>
        </w:rPr>
        <w:tab/>
      </w:r>
      <w:r>
        <w:rPr>
          <w:rFonts w:ascii="TimesNewRomanPSMT" w:hAnsi="TimesNewRomanPSMT" w:cs="TimesNewRomanPSMT"/>
          <w:sz w:val="20"/>
          <w:szCs w:val="20"/>
        </w:rPr>
        <w:t>1 años</w:t>
      </w:r>
    </w:p>
    <w:p w:rsidR="009C208A" w:rsidRPr="00806384" w:rsidRDefault="009C208A" w:rsidP="00806384">
      <w:pPr>
        <w:widowControl w:val="0"/>
        <w:tabs>
          <w:tab w:val="left" w:pos="3731"/>
        </w:tabs>
        <w:autoSpaceDE w:val="0"/>
        <w:autoSpaceDN w:val="0"/>
        <w:adjustRightInd w:val="0"/>
        <w:ind w:left="3731" w:hanging="3731"/>
        <w:rPr>
          <w:rFonts w:ascii="Helvetica" w:hAnsi="Helvetica" w:cs="Helvetica"/>
          <w:kern w:val="1"/>
        </w:rPr>
      </w:pPr>
      <w:r>
        <w:rPr>
          <w:rFonts w:ascii="TimesNewRomanPSMT" w:hAnsi="TimesNewRomanPSMT" w:cs="TimesNewRomanPSMT"/>
          <w:b/>
          <w:bCs/>
          <w:sz w:val="20"/>
          <w:szCs w:val="20"/>
        </w:rPr>
        <w:t>Aplicación</w:t>
      </w:r>
      <w:r>
        <w:rPr>
          <w:rFonts w:ascii="TimesNewRomanPSMT" w:hAnsi="TimesNewRomanPSMT" w:cs="TimesNewRomanPSMT"/>
        </w:rPr>
        <w:tab/>
      </w:r>
      <w:r>
        <w:rPr>
          <w:rFonts w:ascii="TimesNewRomanPSMT" w:hAnsi="TimesNewRomanPSMT" w:cs="TimesNewRomanPSMT"/>
          <w:sz w:val="20"/>
          <w:szCs w:val="20"/>
        </w:rPr>
        <w:t>Depende de la pintura entonada. Los entonadores amarillo, naranja y bermellón, se recomiendan sólo para uso interior.</w:t>
      </w:r>
    </w:p>
    <w:p w:rsidR="009C208A" w:rsidRDefault="009C208A" w:rsidP="00806384">
      <w:pPr>
        <w:widowControl w:val="0"/>
        <w:pBdr>
          <w:bottom w:val="single" w:sz="6" w:space="1" w:color="auto"/>
        </w:pBdr>
        <w:tabs>
          <w:tab w:val="left" w:pos="3731"/>
        </w:tabs>
        <w:autoSpaceDE w:val="0"/>
        <w:autoSpaceDN w:val="0"/>
        <w:adjustRightInd w:val="0"/>
        <w:rPr>
          <w:sz w:val="20"/>
          <w:szCs w:val="20"/>
        </w:rPr>
      </w:pPr>
    </w:p>
    <w:p w:rsidR="009C208A" w:rsidRPr="009201DE" w:rsidRDefault="009C208A" w:rsidP="00806384">
      <w:pPr>
        <w:widowControl w:val="0"/>
        <w:tabs>
          <w:tab w:val="left" w:pos="3731"/>
        </w:tabs>
        <w:autoSpaceDE w:val="0"/>
        <w:autoSpaceDN w:val="0"/>
        <w:adjustRightInd w:val="0"/>
        <w:rPr>
          <w:kern w:val="1"/>
          <w:sz w:val="20"/>
          <w:szCs w:val="20"/>
        </w:rPr>
      </w:pPr>
    </w:p>
    <w:p w:rsidR="009C208A" w:rsidRPr="009201DE" w:rsidRDefault="009C208A" w:rsidP="00806384">
      <w:pPr>
        <w:rPr>
          <w:b/>
          <w:sz w:val="20"/>
          <w:szCs w:val="20"/>
        </w:rPr>
      </w:pPr>
      <w:r w:rsidRPr="009201DE">
        <w:rPr>
          <w:b/>
          <w:sz w:val="20"/>
          <w:szCs w:val="20"/>
        </w:rPr>
        <w:t>Precauciones de seguridad</w:t>
      </w:r>
    </w:p>
    <w:p w:rsidR="009C208A" w:rsidRDefault="009C208A" w:rsidP="00806384">
      <w:pPr>
        <w:rPr>
          <w:sz w:val="20"/>
          <w:szCs w:val="20"/>
        </w:rPr>
      </w:pPr>
      <w:r w:rsidRPr="009201DE">
        <w:rPr>
          <w:sz w:val="20"/>
          <w:szCs w:val="20"/>
        </w:rPr>
        <w:t>Mantener fuera del alcance de los niños. Evitar su ingestión y la inhalación prolongada de los vapores. Evitar contacto con ojos, mucosas y piel. Durante la aplicación y el secado, procurar adecuada ventilación. Utilizar elementos de protección personal (guantes, anteojos, protector respiratorio en c</w:t>
      </w:r>
      <w:r>
        <w:rPr>
          <w:sz w:val="20"/>
          <w:szCs w:val="20"/>
        </w:rPr>
        <w:t xml:space="preserve">aso de aplicación con soplete). </w:t>
      </w:r>
      <w:r w:rsidRPr="009201DE">
        <w:rPr>
          <w:sz w:val="20"/>
          <w:szCs w:val="20"/>
        </w:rPr>
        <w:t>Al no ser inflamable controlar derrames con arena u otro absorbente apropiado</w:t>
      </w:r>
    </w:p>
    <w:p w:rsidR="009C208A" w:rsidRDefault="009C208A" w:rsidP="00806384">
      <w:pPr>
        <w:pBdr>
          <w:bottom w:val="single" w:sz="6" w:space="1" w:color="auto"/>
        </w:pBdr>
        <w:rPr>
          <w:sz w:val="20"/>
          <w:szCs w:val="20"/>
        </w:rPr>
      </w:pPr>
    </w:p>
    <w:p w:rsidR="009C208A" w:rsidRDefault="009C208A" w:rsidP="00806384">
      <w:pPr>
        <w:rPr>
          <w:sz w:val="20"/>
          <w:szCs w:val="20"/>
        </w:rPr>
      </w:pPr>
    </w:p>
    <w:p w:rsidR="009C208A" w:rsidRPr="009201DE" w:rsidRDefault="009C208A" w:rsidP="00806384">
      <w:pPr>
        <w:rPr>
          <w:b/>
          <w:sz w:val="20"/>
          <w:szCs w:val="20"/>
        </w:rPr>
      </w:pPr>
      <w:r w:rsidRPr="009201DE">
        <w:rPr>
          <w:b/>
          <w:sz w:val="20"/>
          <w:szCs w:val="20"/>
        </w:rPr>
        <w:t>Primeros auxilios</w:t>
      </w:r>
    </w:p>
    <w:p w:rsidR="009C208A" w:rsidRPr="00A978BE" w:rsidRDefault="009C208A" w:rsidP="00806384">
      <w:pPr>
        <w:rPr>
          <w:sz w:val="20"/>
          <w:szCs w:val="20"/>
        </w:rPr>
      </w:pPr>
      <w:r w:rsidRPr="009201DE">
        <w:rPr>
          <w:sz w:val="20"/>
          <w:szCs w:val="20"/>
        </w:rPr>
        <w:t>Ante contacto con piel lavar con abundante agua. Ante la inhalación prolongada ventilar. Ante contacto con los ojos lavar con abundante agua y efectuar consulta médica. Ante ingestión efectuar consulta médica. CENTRO NACIONAL DE INTOXICACIONES HOSPITAL POSADAS (O11) 4658 7777. EN CÓRDOBA HOSPITAL MUNICIPAL DE URGENCIAS (O351) 427 6200. EN ROSARIO (0341) 448 0202 . EN LA PLATA (0221) 451 5555.</w:t>
      </w:r>
    </w:p>
    <w:p w:rsidR="009C208A" w:rsidRPr="00806384" w:rsidRDefault="009C208A" w:rsidP="00806384">
      <w:pPr>
        <w:widowControl w:val="0"/>
        <w:tabs>
          <w:tab w:val="left" w:pos="3731"/>
        </w:tabs>
        <w:autoSpaceDE w:val="0"/>
        <w:autoSpaceDN w:val="0"/>
        <w:adjustRightInd w:val="0"/>
        <w:rPr>
          <w:rFonts w:ascii="TimesNewRomanPSMT" w:hAnsi="TimesNewRomanPSMT" w:cs="TimesNewRomanPSMT"/>
          <w:b/>
          <w:bCs/>
          <w:sz w:val="20"/>
          <w:szCs w:val="20"/>
        </w:rPr>
      </w:pPr>
    </w:p>
    <w:sectPr w:rsidR="009C208A" w:rsidRPr="00806384" w:rsidSect="00806384">
      <w:pgSz w:w="11907" w:h="16840" w:code="9"/>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1DA8"/>
    <w:rsid w:val="00376F74"/>
    <w:rsid w:val="003D1DA8"/>
    <w:rsid w:val="0061272B"/>
    <w:rsid w:val="006778BD"/>
    <w:rsid w:val="006D2698"/>
    <w:rsid w:val="007B3E1F"/>
    <w:rsid w:val="00806384"/>
    <w:rsid w:val="009201DE"/>
    <w:rsid w:val="009C208A"/>
    <w:rsid w:val="00A978B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DA8"/>
    <w:rPr>
      <w:rFonts w:ascii="Times New Roman" w:eastAsia="Times New Roman" w:hAnsi="Times New Roman"/>
      <w:sz w:val="24"/>
      <w:szCs w:val="24"/>
      <w:lang w:val="es-ES_tradnl" w:eastAsia="es-ES_tradn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258</Words>
  <Characters>1423</Characters>
  <Application>Microsoft Office Outlook</Application>
  <DocSecurity>0</DocSecurity>
  <Lines>0</Lines>
  <Paragraphs>0</Paragraphs>
  <ScaleCrop>false</ScaleCrop>
  <Company>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Diego Berra</cp:lastModifiedBy>
  <cp:revision>2</cp:revision>
  <dcterms:created xsi:type="dcterms:W3CDTF">2016-08-22T16:54:00Z</dcterms:created>
  <dcterms:modified xsi:type="dcterms:W3CDTF">2016-08-29T17:23:00Z</dcterms:modified>
</cp:coreProperties>
</file>